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B2" w:rsidRDefault="00FB54B2">
      <w:pPr>
        <w:pStyle w:val="GvdeMetni"/>
      </w:pPr>
    </w:p>
    <w:p w:rsidR="00FB54B2" w:rsidRDefault="00FB54B2">
      <w:pPr>
        <w:pStyle w:val="GvdeMetni"/>
      </w:pPr>
    </w:p>
    <w:p w:rsidR="00FB54B2" w:rsidRDefault="00FB54B2">
      <w:pPr>
        <w:pStyle w:val="GvdeMetni"/>
      </w:pPr>
    </w:p>
    <w:p w:rsidR="00FB54B2" w:rsidRDefault="00FB54B2">
      <w:pPr>
        <w:pStyle w:val="GvdeMetni"/>
      </w:pPr>
    </w:p>
    <w:p w:rsidR="00FB54B2" w:rsidRDefault="00FB54B2">
      <w:pPr>
        <w:pStyle w:val="GvdeMetni"/>
        <w:spacing w:before="71"/>
      </w:pPr>
    </w:p>
    <w:p w:rsidR="00FB54B2" w:rsidRDefault="00843E85">
      <w:pPr>
        <w:pStyle w:val="Balk1"/>
        <w:jc w:val="both"/>
      </w:pPr>
      <w:r>
        <w:t>Değerli</w:t>
      </w:r>
      <w:r>
        <w:rPr>
          <w:spacing w:val="15"/>
        </w:rPr>
        <w:t xml:space="preserve"> </w:t>
      </w:r>
      <w:r>
        <w:rPr>
          <w:spacing w:val="-2"/>
        </w:rPr>
        <w:t>Kullanıcılarımız;</w:t>
      </w:r>
    </w:p>
    <w:p w:rsidR="00FB54B2" w:rsidRDefault="00FB54B2">
      <w:pPr>
        <w:pStyle w:val="GvdeMetni"/>
        <w:rPr>
          <w:b/>
        </w:rPr>
      </w:pPr>
    </w:p>
    <w:p w:rsidR="00FB54B2" w:rsidRDefault="00FB54B2">
      <w:pPr>
        <w:pStyle w:val="GvdeMetni"/>
        <w:spacing w:before="1"/>
        <w:rPr>
          <w:b/>
        </w:rPr>
      </w:pPr>
    </w:p>
    <w:p w:rsidR="00FB54B2" w:rsidRDefault="00843E85">
      <w:pPr>
        <w:ind w:left="283" w:right="138"/>
        <w:jc w:val="both"/>
        <w:rPr>
          <w:sz w:val="27"/>
        </w:rPr>
      </w:pPr>
      <w:proofErr w:type="spellStart"/>
      <w:r>
        <w:rPr>
          <w:b/>
          <w:sz w:val="27"/>
        </w:rPr>
        <w:t>Micromedex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Academic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Package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sz w:val="27"/>
        </w:rPr>
        <w:t>veritabanı</w:t>
      </w:r>
      <w:proofErr w:type="spellEnd"/>
      <w:r>
        <w:rPr>
          <w:sz w:val="27"/>
        </w:rPr>
        <w:t xml:space="preserve"> </w:t>
      </w:r>
      <w:r w:rsidR="00B83E53">
        <w:rPr>
          <w:b/>
          <w:sz w:val="27"/>
        </w:rPr>
        <w:t>5</w:t>
      </w:r>
      <w:r>
        <w:rPr>
          <w:b/>
          <w:sz w:val="27"/>
        </w:rPr>
        <w:t xml:space="preserve"> </w:t>
      </w:r>
      <w:r w:rsidR="00B83E53">
        <w:rPr>
          <w:b/>
          <w:sz w:val="27"/>
        </w:rPr>
        <w:t>Kasım</w:t>
      </w:r>
      <w:r>
        <w:rPr>
          <w:b/>
          <w:spacing w:val="18"/>
          <w:sz w:val="27"/>
        </w:rPr>
        <w:t xml:space="preserve"> </w:t>
      </w:r>
      <w:r>
        <w:rPr>
          <w:b/>
          <w:sz w:val="27"/>
        </w:rPr>
        <w:t xml:space="preserve">2025 </w:t>
      </w:r>
      <w:r>
        <w:rPr>
          <w:sz w:val="27"/>
        </w:rPr>
        <w:t xml:space="preserve">tarihine kadar üniversitemiz </w:t>
      </w:r>
      <w:r>
        <w:rPr>
          <w:b/>
          <w:sz w:val="27"/>
        </w:rPr>
        <w:t xml:space="preserve">deneme </w:t>
      </w:r>
      <w:r>
        <w:rPr>
          <w:sz w:val="27"/>
        </w:rPr>
        <w:t>erişimine açılmıştır. Kullanıcılarımız; aşağıdaki erişim adresi üze</w:t>
      </w:r>
      <w:bookmarkStart w:id="0" w:name="_GoBack"/>
      <w:bookmarkEnd w:id="0"/>
      <w:r>
        <w:rPr>
          <w:sz w:val="27"/>
        </w:rPr>
        <w:t>rinden aşağıda belirtilen kullanıcı adı ve şifre ile erişim sağlayabileceklerdir.</w:t>
      </w:r>
    </w:p>
    <w:p w:rsidR="00FB54B2" w:rsidRDefault="00FB54B2">
      <w:pPr>
        <w:pStyle w:val="GvdeMetni"/>
      </w:pPr>
    </w:p>
    <w:p w:rsidR="00FB54B2" w:rsidRDefault="00FB54B2">
      <w:pPr>
        <w:pStyle w:val="GvdeMetni"/>
        <w:spacing w:before="292"/>
      </w:pPr>
    </w:p>
    <w:p w:rsidR="00FB54B2" w:rsidRDefault="00843E85">
      <w:pPr>
        <w:spacing w:before="1"/>
        <w:ind w:left="283"/>
        <w:jc w:val="both"/>
        <w:rPr>
          <w:rFonts w:ascii="Arial MT" w:hAnsi="Arial MT"/>
          <w:sz w:val="20"/>
        </w:rPr>
      </w:pPr>
      <w:r>
        <w:rPr>
          <w:b/>
          <w:sz w:val="27"/>
        </w:rPr>
        <w:t>Erişim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Adresi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:</w:t>
      </w:r>
      <w:r>
        <w:rPr>
          <w:b/>
          <w:spacing w:val="-6"/>
          <w:sz w:val="27"/>
        </w:rPr>
        <w:t xml:space="preserve"> </w:t>
      </w:r>
      <w:hyperlink r:id="rId7">
        <w:r>
          <w:rPr>
            <w:rFonts w:ascii="Arial MT" w:hAnsi="Arial MT"/>
            <w:color w:val="0000FF"/>
            <w:spacing w:val="-2"/>
            <w:sz w:val="20"/>
            <w:u w:val="single" w:color="0000FF"/>
          </w:rPr>
          <w:t>http://www.micromedexsolutions.com</w:t>
        </w:r>
      </w:hyperlink>
    </w:p>
    <w:p w:rsidR="00FB54B2" w:rsidRDefault="00843E85">
      <w:pPr>
        <w:pStyle w:val="Balk1"/>
        <w:spacing w:before="310"/>
      </w:pPr>
      <w:r>
        <w:t>Kullanıcı</w:t>
      </w:r>
      <w:r>
        <w:rPr>
          <w:spacing w:val="-1"/>
        </w:rPr>
        <w:t xml:space="preserve"> </w:t>
      </w:r>
      <w:r>
        <w:t>Adı:</w:t>
      </w:r>
      <w:r>
        <w:rPr>
          <w:spacing w:val="-1"/>
        </w:rPr>
        <w:t xml:space="preserve"> </w:t>
      </w:r>
      <w:r>
        <w:rPr>
          <w:spacing w:val="-2"/>
        </w:rPr>
        <w:t>EGEUNIV</w:t>
      </w:r>
    </w:p>
    <w:p w:rsidR="00FB54B2" w:rsidRDefault="00843E85">
      <w:pPr>
        <w:ind w:left="283"/>
        <w:rPr>
          <w:sz w:val="27"/>
        </w:rPr>
      </w:pPr>
      <w:r>
        <w:rPr>
          <w:b/>
          <w:sz w:val="27"/>
        </w:rPr>
        <w:t xml:space="preserve">Şifre: </w:t>
      </w:r>
      <w:r>
        <w:rPr>
          <w:spacing w:val="-2"/>
          <w:sz w:val="27"/>
        </w:rPr>
        <w:t>38390LK</w:t>
      </w:r>
    </w:p>
    <w:p w:rsidR="00FB54B2" w:rsidRDefault="00FB54B2">
      <w:pPr>
        <w:pStyle w:val="GvdeMetni"/>
        <w:spacing w:before="241"/>
      </w:pPr>
    </w:p>
    <w:p w:rsidR="00FB54B2" w:rsidRDefault="00843E85">
      <w:pPr>
        <w:ind w:left="283"/>
        <w:rPr>
          <w:rFonts w:ascii="Segoe UI"/>
          <w:b/>
          <w:sz w:val="24"/>
        </w:rPr>
      </w:pPr>
      <w:proofErr w:type="spellStart"/>
      <w:r>
        <w:rPr>
          <w:rFonts w:ascii="Segoe UI"/>
          <w:b/>
          <w:sz w:val="24"/>
        </w:rPr>
        <w:t>Micromedex</w:t>
      </w:r>
      <w:proofErr w:type="spellEnd"/>
      <w:r>
        <w:rPr>
          <w:rFonts w:ascii="Segoe UI"/>
          <w:b/>
          <w:spacing w:val="-5"/>
          <w:sz w:val="24"/>
        </w:rPr>
        <w:t xml:space="preserve"> </w:t>
      </w:r>
      <w:proofErr w:type="spellStart"/>
      <w:r>
        <w:rPr>
          <w:rFonts w:ascii="Segoe UI"/>
          <w:b/>
          <w:sz w:val="24"/>
        </w:rPr>
        <w:t>Academic</w:t>
      </w:r>
      <w:proofErr w:type="spellEnd"/>
      <w:r>
        <w:rPr>
          <w:rFonts w:ascii="Segoe UI"/>
          <w:b/>
          <w:spacing w:val="-4"/>
          <w:sz w:val="24"/>
        </w:rPr>
        <w:t xml:space="preserve"> </w:t>
      </w:r>
      <w:proofErr w:type="spellStart"/>
      <w:r>
        <w:rPr>
          <w:rFonts w:ascii="Segoe UI"/>
          <w:b/>
          <w:spacing w:val="-2"/>
          <w:sz w:val="24"/>
        </w:rPr>
        <w:t>Package</w:t>
      </w:r>
      <w:proofErr w:type="spellEnd"/>
    </w:p>
    <w:p w:rsidR="00FB54B2" w:rsidRDefault="00FB54B2">
      <w:pPr>
        <w:pStyle w:val="GvdeMetni"/>
        <w:spacing w:before="277"/>
        <w:rPr>
          <w:rFonts w:ascii="Segoe UI"/>
          <w:b/>
          <w:sz w:val="24"/>
        </w:rPr>
      </w:pPr>
    </w:p>
    <w:p w:rsidR="00FB54B2" w:rsidRDefault="00843E85">
      <w:pPr>
        <w:pStyle w:val="ListeParagraf"/>
        <w:numPr>
          <w:ilvl w:val="0"/>
          <w:numId w:val="1"/>
        </w:numPr>
        <w:tabs>
          <w:tab w:val="left" w:pos="344"/>
        </w:tabs>
        <w:spacing w:before="1"/>
        <w:ind w:hanging="202"/>
        <w:rPr>
          <w:sz w:val="27"/>
        </w:rPr>
      </w:pPr>
      <w:proofErr w:type="spellStart"/>
      <w:r>
        <w:rPr>
          <w:sz w:val="27"/>
        </w:rPr>
        <w:t>Expanded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Drug</w:t>
      </w:r>
      <w:proofErr w:type="spellEnd"/>
      <w:r>
        <w:rPr>
          <w:sz w:val="27"/>
        </w:rPr>
        <w:t xml:space="preserve"> </w:t>
      </w:r>
      <w:r>
        <w:rPr>
          <w:spacing w:val="-2"/>
          <w:sz w:val="27"/>
        </w:rPr>
        <w:t>Information</w:t>
      </w:r>
    </w:p>
    <w:p w:rsidR="00FB54B2" w:rsidRDefault="00843E85">
      <w:pPr>
        <w:pStyle w:val="ListeParagraf"/>
        <w:numPr>
          <w:ilvl w:val="0"/>
          <w:numId w:val="1"/>
        </w:numPr>
        <w:tabs>
          <w:tab w:val="left" w:pos="344"/>
        </w:tabs>
        <w:ind w:hanging="202"/>
        <w:rPr>
          <w:sz w:val="27"/>
        </w:rPr>
      </w:pPr>
      <w:proofErr w:type="spellStart"/>
      <w:r>
        <w:rPr>
          <w:sz w:val="27"/>
        </w:rPr>
        <w:t>Reproductive</w:t>
      </w:r>
      <w:proofErr w:type="spellEnd"/>
      <w:r>
        <w:rPr>
          <w:spacing w:val="-1"/>
          <w:sz w:val="27"/>
        </w:rPr>
        <w:t xml:space="preserve"> </w:t>
      </w:r>
      <w:proofErr w:type="spellStart"/>
      <w:r>
        <w:rPr>
          <w:spacing w:val="-2"/>
          <w:sz w:val="27"/>
        </w:rPr>
        <w:t>Effects</w:t>
      </w:r>
      <w:proofErr w:type="spellEnd"/>
    </w:p>
    <w:p w:rsidR="00FB54B2" w:rsidRDefault="00843E85">
      <w:pPr>
        <w:pStyle w:val="ListeParagraf"/>
        <w:numPr>
          <w:ilvl w:val="0"/>
          <w:numId w:val="1"/>
        </w:numPr>
        <w:tabs>
          <w:tab w:val="left" w:pos="344"/>
        </w:tabs>
        <w:ind w:hanging="202"/>
        <w:rPr>
          <w:sz w:val="27"/>
        </w:rPr>
      </w:pPr>
      <w:proofErr w:type="spellStart"/>
      <w:r>
        <w:rPr>
          <w:spacing w:val="-2"/>
          <w:sz w:val="27"/>
        </w:rPr>
        <w:t>Poisindex</w:t>
      </w:r>
      <w:proofErr w:type="spellEnd"/>
    </w:p>
    <w:p w:rsidR="00FB54B2" w:rsidRDefault="00843E85">
      <w:pPr>
        <w:pStyle w:val="GvdeMetni"/>
        <w:spacing w:before="225"/>
        <w:ind w:left="142"/>
      </w:pPr>
      <w:r>
        <w:rPr>
          <w:spacing w:val="-2"/>
        </w:rPr>
        <w:t>*</w:t>
      </w:r>
      <w:proofErr w:type="spellStart"/>
      <w:r>
        <w:rPr>
          <w:spacing w:val="-2"/>
        </w:rPr>
        <w:t>Neonatal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Pediatrics</w:t>
      </w:r>
      <w:proofErr w:type="spellEnd"/>
    </w:p>
    <w:p w:rsidR="00FB54B2" w:rsidRDefault="00FB54B2">
      <w:pPr>
        <w:pStyle w:val="GvdeMetni"/>
      </w:pPr>
    </w:p>
    <w:p w:rsidR="00FB54B2" w:rsidRDefault="00FB54B2">
      <w:pPr>
        <w:pStyle w:val="GvdeMetni"/>
        <w:spacing w:before="139"/>
      </w:pPr>
    </w:p>
    <w:p w:rsidR="00FB54B2" w:rsidRDefault="00843E85">
      <w:pPr>
        <w:ind w:left="142"/>
        <w:rPr>
          <w:sz w:val="27"/>
        </w:rPr>
      </w:pPr>
      <w:proofErr w:type="spellStart"/>
      <w:r>
        <w:rPr>
          <w:b/>
          <w:sz w:val="27"/>
        </w:rPr>
        <w:t>Expanded</w:t>
      </w:r>
      <w:proofErr w:type="spellEnd"/>
      <w:r>
        <w:rPr>
          <w:b/>
          <w:spacing w:val="-5"/>
          <w:sz w:val="27"/>
        </w:rPr>
        <w:t xml:space="preserve"> </w:t>
      </w:r>
      <w:proofErr w:type="spellStart"/>
      <w:r>
        <w:rPr>
          <w:b/>
          <w:sz w:val="27"/>
        </w:rPr>
        <w:t>Drug</w:t>
      </w:r>
      <w:proofErr w:type="spellEnd"/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Information</w:t>
      </w:r>
      <w:r>
        <w:rPr>
          <w:b/>
          <w:spacing w:val="-5"/>
          <w:sz w:val="27"/>
        </w:rPr>
        <w:t xml:space="preserve"> </w:t>
      </w:r>
      <w:r>
        <w:rPr>
          <w:sz w:val="27"/>
        </w:rPr>
        <w:t>ilaç</w:t>
      </w:r>
      <w:r>
        <w:rPr>
          <w:spacing w:val="-4"/>
          <w:sz w:val="27"/>
        </w:rPr>
        <w:t xml:space="preserve"> </w:t>
      </w:r>
      <w:r>
        <w:rPr>
          <w:sz w:val="27"/>
        </w:rPr>
        <w:t>etkileşim,</w:t>
      </w:r>
      <w:r>
        <w:rPr>
          <w:spacing w:val="-4"/>
          <w:sz w:val="27"/>
        </w:rPr>
        <w:t xml:space="preserve"> </w:t>
      </w:r>
      <w:r>
        <w:rPr>
          <w:sz w:val="27"/>
        </w:rPr>
        <w:t>yan</w:t>
      </w:r>
      <w:r>
        <w:rPr>
          <w:spacing w:val="-4"/>
          <w:sz w:val="27"/>
        </w:rPr>
        <w:t xml:space="preserve"> </w:t>
      </w:r>
      <w:r>
        <w:rPr>
          <w:sz w:val="27"/>
        </w:rPr>
        <w:t>etki,</w:t>
      </w:r>
      <w:r>
        <w:rPr>
          <w:spacing w:val="-4"/>
          <w:sz w:val="27"/>
        </w:rPr>
        <w:t xml:space="preserve"> </w:t>
      </w:r>
      <w:r>
        <w:rPr>
          <w:sz w:val="27"/>
        </w:rPr>
        <w:t>dozaj,</w:t>
      </w:r>
      <w:r>
        <w:rPr>
          <w:spacing w:val="-4"/>
          <w:sz w:val="27"/>
        </w:rPr>
        <w:t xml:space="preserve"> </w:t>
      </w:r>
      <w:r>
        <w:rPr>
          <w:sz w:val="27"/>
        </w:rPr>
        <w:t>kullanım</w:t>
      </w:r>
      <w:r>
        <w:rPr>
          <w:spacing w:val="-4"/>
          <w:sz w:val="27"/>
        </w:rPr>
        <w:t xml:space="preserve"> </w:t>
      </w:r>
      <w:r>
        <w:rPr>
          <w:sz w:val="27"/>
        </w:rPr>
        <w:t>alanları,</w:t>
      </w:r>
      <w:r>
        <w:rPr>
          <w:spacing w:val="-4"/>
          <w:sz w:val="27"/>
        </w:rPr>
        <w:t xml:space="preserve"> </w:t>
      </w:r>
      <w:r>
        <w:rPr>
          <w:sz w:val="27"/>
        </w:rPr>
        <w:t>IV Compatibility gibi konuları içerir.</w:t>
      </w:r>
    </w:p>
    <w:p w:rsidR="00FB54B2" w:rsidRDefault="00843E85">
      <w:pPr>
        <w:spacing w:before="225"/>
        <w:ind w:left="142"/>
        <w:rPr>
          <w:sz w:val="27"/>
        </w:rPr>
      </w:pPr>
      <w:proofErr w:type="spellStart"/>
      <w:r>
        <w:rPr>
          <w:b/>
          <w:sz w:val="27"/>
        </w:rPr>
        <w:t>Reproductive</w:t>
      </w:r>
      <w:proofErr w:type="spellEnd"/>
      <w:r>
        <w:rPr>
          <w:b/>
          <w:spacing w:val="-5"/>
          <w:sz w:val="27"/>
        </w:rPr>
        <w:t xml:space="preserve"> </w:t>
      </w:r>
      <w:proofErr w:type="spellStart"/>
      <w:r>
        <w:rPr>
          <w:b/>
          <w:sz w:val="27"/>
        </w:rPr>
        <w:t>Effects</w:t>
      </w:r>
      <w:proofErr w:type="spellEnd"/>
      <w:r>
        <w:rPr>
          <w:b/>
          <w:spacing w:val="-5"/>
          <w:sz w:val="27"/>
        </w:rPr>
        <w:t xml:space="preserve"> </w:t>
      </w:r>
      <w:r>
        <w:rPr>
          <w:sz w:val="27"/>
        </w:rPr>
        <w:t>ilaçların</w:t>
      </w:r>
      <w:r>
        <w:rPr>
          <w:spacing w:val="-5"/>
          <w:sz w:val="27"/>
        </w:rPr>
        <w:t xml:space="preserve"> </w:t>
      </w:r>
      <w:r>
        <w:rPr>
          <w:sz w:val="27"/>
        </w:rPr>
        <w:t>kadın,</w:t>
      </w:r>
      <w:r>
        <w:rPr>
          <w:spacing w:val="-5"/>
          <w:sz w:val="27"/>
        </w:rPr>
        <w:t xml:space="preserve"> </w:t>
      </w:r>
      <w:r>
        <w:rPr>
          <w:sz w:val="27"/>
        </w:rPr>
        <w:t>erkek</w:t>
      </w:r>
      <w:r>
        <w:rPr>
          <w:spacing w:val="-5"/>
          <w:sz w:val="27"/>
        </w:rPr>
        <w:t xml:space="preserve"> </w:t>
      </w:r>
      <w:r>
        <w:rPr>
          <w:sz w:val="27"/>
        </w:rPr>
        <w:t>ve</w:t>
      </w:r>
      <w:r>
        <w:rPr>
          <w:spacing w:val="-5"/>
          <w:sz w:val="27"/>
        </w:rPr>
        <w:t xml:space="preserve"> </w:t>
      </w:r>
      <w:r>
        <w:rPr>
          <w:sz w:val="27"/>
        </w:rPr>
        <w:t>doğmamış</w:t>
      </w:r>
      <w:r>
        <w:rPr>
          <w:spacing w:val="-5"/>
          <w:sz w:val="27"/>
        </w:rPr>
        <w:t xml:space="preserve"> </w:t>
      </w:r>
      <w:r>
        <w:rPr>
          <w:sz w:val="27"/>
        </w:rPr>
        <w:t>çocuklar</w:t>
      </w:r>
      <w:r>
        <w:rPr>
          <w:spacing w:val="-5"/>
          <w:sz w:val="27"/>
        </w:rPr>
        <w:t xml:space="preserve"> </w:t>
      </w:r>
      <w:r>
        <w:rPr>
          <w:sz w:val="27"/>
        </w:rPr>
        <w:t>üzerindeki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etkisini </w:t>
      </w:r>
      <w:r>
        <w:rPr>
          <w:spacing w:val="-2"/>
          <w:sz w:val="27"/>
        </w:rPr>
        <w:t>inceler.</w:t>
      </w:r>
    </w:p>
    <w:p w:rsidR="00FB54B2" w:rsidRDefault="00843E85">
      <w:pPr>
        <w:pStyle w:val="GvdeMetni"/>
        <w:spacing w:before="225"/>
        <w:ind w:left="142" w:right="72"/>
      </w:pPr>
      <w:proofErr w:type="spellStart"/>
      <w:r>
        <w:rPr>
          <w:b/>
        </w:rPr>
        <w:t>Poisindex</w:t>
      </w:r>
      <w:proofErr w:type="spellEnd"/>
      <w:r>
        <w:rPr>
          <w:b/>
          <w:spacing w:val="-5"/>
        </w:rPr>
        <w:t xml:space="preserve"> </w:t>
      </w:r>
      <w:r>
        <w:t>ilaç,</w:t>
      </w:r>
      <w:r>
        <w:rPr>
          <w:spacing w:val="-5"/>
        </w:rPr>
        <w:t xml:space="preserve"> </w:t>
      </w:r>
      <w:r>
        <w:t>kimyasal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biyolojik</w:t>
      </w:r>
      <w:r>
        <w:rPr>
          <w:spacing w:val="-5"/>
        </w:rPr>
        <w:t xml:space="preserve"> </w:t>
      </w:r>
      <w:r>
        <w:t>madde</w:t>
      </w:r>
      <w:r>
        <w:rPr>
          <w:spacing w:val="-5"/>
        </w:rPr>
        <w:t xml:space="preserve"> </w:t>
      </w:r>
      <w:proofErr w:type="spellStart"/>
      <w:r>
        <w:t>overdoz</w:t>
      </w:r>
      <w:proofErr w:type="spellEnd"/>
      <w:r>
        <w:rPr>
          <w:spacing w:val="-5"/>
        </w:rPr>
        <w:t xml:space="preserve"> </w:t>
      </w:r>
      <w:r>
        <w:t>durumlarında</w:t>
      </w:r>
      <w:r>
        <w:rPr>
          <w:spacing w:val="-5"/>
        </w:rPr>
        <w:t xml:space="preserve"> </w:t>
      </w:r>
      <w:r>
        <w:t>tedavi protokollerini içerir.</w:t>
      </w:r>
    </w:p>
    <w:p w:rsidR="00FB54B2" w:rsidRDefault="00843E85">
      <w:pPr>
        <w:pStyle w:val="GvdeMetni"/>
        <w:spacing w:before="225"/>
        <w:ind w:left="142"/>
      </w:pPr>
      <w:proofErr w:type="spellStart"/>
      <w:r>
        <w:rPr>
          <w:b/>
        </w:rPr>
        <w:t>Neonatal</w:t>
      </w:r>
      <w:proofErr w:type="spellEnd"/>
      <w:r>
        <w:rPr>
          <w:b/>
        </w:rPr>
        <w:t>/</w:t>
      </w:r>
      <w:proofErr w:type="spellStart"/>
      <w:r>
        <w:rPr>
          <w:b/>
        </w:rPr>
        <w:t>Pediatrics</w:t>
      </w:r>
      <w:proofErr w:type="spellEnd"/>
      <w:r>
        <w:rPr>
          <w:b/>
          <w:spacing w:val="-6"/>
        </w:rPr>
        <w:t xml:space="preserve"> </w:t>
      </w:r>
      <w:proofErr w:type="spellStart"/>
      <w:r>
        <w:t>Neonatal</w:t>
      </w:r>
      <w:proofErr w:type="spellEnd"/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Pediatrik</w:t>
      </w:r>
      <w:r>
        <w:rPr>
          <w:spacing w:val="-5"/>
        </w:rPr>
        <w:t xml:space="preserve"> </w:t>
      </w:r>
      <w:r>
        <w:t>ilaç</w:t>
      </w:r>
      <w:r>
        <w:rPr>
          <w:spacing w:val="-6"/>
        </w:rPr>
        <w:t xml:space="preserve"> </w:t>
      </w:r>
      <w:proofErr w:type="gramStart"/>
      <w:r>
        <w:t>literatürünü</w:t>
      </w:r>
      <w:proofErr w:type="gramEnd"/>
      <w:r>
        <w:rPr>
          <w:spacing w:val="-5"/>
        </w:rPr>
        <w:t xml:space="preserve"> </w:t>
      </w:r>
      <w:r>
        <w:t>araştırmacılara</w:t>
      </w:r>
      <w:r>
        <w:rPr>
          <w:spacing w:val="-6"/>
        </w:rPr>
        <w:t xml:space="preserve"> </w:t>
      </w:r>
      <w:r>
        <w:t xml:space="preserve">sunar. </w:t>
      </w:r>
      <w:proofErr w:type="spellStart"/>
      <w:r>
        <w:t>Neonatal</w:t>
      </w:r>
      <w:proofErr w:type="spellEnd"/>
      <w:r>
        <w:t xml:space="preserve"> doz hesap makinesi vardır (</w:t>
      </w:r>
      <w:proofErr w:type="spellStart"/>
      <w:r>
        <w:t>gestasyonel</w:t>
      </w:r>
      <w:proofErr w:type="spellEnd"/>
      <w:r>
        <w:t xml:space="preserve"> yaş, yaş ve kilo).</w:t>
      </w:r>
    </w:p>
    <w:sectPr w:rsidR="00FB54B2">
      <w:headerReference w:type="default" r:id="rId8"/>
      <w:type w:val="continuous"/>
      <w:pgSz w:w="11920" w:h="16840"/>
      <w:pgMar w:top="2000" w:right="1133" w:bottom="280" w:left="1133" w:header="155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85" w:rsidRDefault="00843E85">
      <w:r>
        <w:separator/>
      </w:r>
    </w:p>
  </w:endnote>
  <w:endnote w:type="continuationSeparator" w:id="0">
    <w:p w:rsidR="00843E85" w:rsidRDefault="0084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85" w:rsidRDefault="00843E85">
      <w:r>
        <w:separator/>
      </w:r>
    </w:p>
  </w:footnote>
  <w:footnote w:type="continuationSeparator" w:id="0">
    <w:p w:rsidR="00843E85" w:rsidRDefault="0084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B2" w:rsidRDefault="00843E8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557120" behindDoc="1" locked="0" layoutInCell="1" allowOverlap="1">
          <wp:simplePos x="0" y="0"/>
          <wp:positionH relativeFrom="page">
            <wp:posOffset>933450</wp:posOffset>
          </wp:positionH>
          <wp:positionV relativeFrom="page">
            <wp:posOffset>988232</wp:posOffset>
          </wp:positionV>
          <wp:extent cx="2609850" cy="2278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9850" cy="22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81282"/>
    <w:multiLevelType w:val="hybridMultilevel"/>
    <w:tmpl w:val="7D128C52"/>
    <w:lvl w:ilvl="0" w:tplc="B0E4B0D0">
      <w:numFmt w:val="bullet"/>
      <w:lvlText w:val="*"/>
      <w:lvlJc w:val="left"/>
      <w:pPr>
        <w:ind w:left="344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tr-TR" w:eastAsia="en-US" w:bidi="ar-SA"/>
      </w:rPr>
    </w:lvl>
    <w:lvl w:ilvl="1" w:tplc="8B5605A8">
      <w:numFmt w:val="bullet"/>
      <w:lvlText w:val="•"/>
      <w:lvlJc w:val="left"/>
      <w:pPr>
        <w:ind w:left="1271" w:hanging="203"/>
      </w:pPr>
      <w:rPr>
        <w:rFonts w:hint="default"/>
        <w:lang w:val="tr-TR" w:eastAsia="en-US" w:bidi="ar-SA"/>
      </w:rPr>
    </w:lvl>
    <w:lvl w:ilvl="2" w:tplc="6C3CCDD0">
      <w:numFmt w:val="bullet"/>
      <w:lvlText w:val="•"/>
      <w:lvlJc w:val="left"/>
      <w:pPr>
        <w:ind w:left="2202" w:hanging="203"/>
      </w:pPr>
      <w:rPr>
        <w:rFonts w:hint="default"/>
        <w:lang w:val="tr-TR" w:eastAsia="en-US" w:bidi="ar-SA"/>
      </w:rPr>
    </w:lvl>
    <w:lvl w:ilvl="3" w:tplc="61209DB6">
      <w:numFmt w:val="bullet"/>
      <w:lvlText w:val="•"/>
      <w:lvlJc w:val="left"/>
      <w:pPr>
        <w:ind w:left="3134" w:hanging="203"/>
      </w:pPr>
      <w:rPr>
        <w:rFonts w:hint="default"/>
        <w:lang w:val="tr-TR" w:eastAsia="en-US" w:bidi="ar-SA"/>
      </w:rPr>
    </w:lvl>
    <w:lvl w:ilvl="4" w:tplc="EE5E1FF2">
      <w:numFmt w:val="bullet"/>
      <w:lvlText w:val="•"/>
      <w:lvlJc w:val="left"/>
      <w:pPr>
        <w:ind w:left="4065" w:hanging="203"/>
      </w:pPr>
      <w:rPr>
        <w:rFonts w:hint="default"/>
        <w:lang w:val="tr-TR" w:eastAsia="en-US" w:bidi="ar-SA"/>
      </w:rPr>
    </w:lvl>
    <w:lvl w:ilvl="5" w:tplc="10304B1A">
      <w:numFmt w:val="bullet"/>
      <w:lvlText w:val="•"/>
      <w:lvlJc w:val="left"/>
      <w:pPr>
        <w:ind w:left="4997" w:hanging="203"/>
      </w:pPr>
      <w:rPr>
        <w:rFonts w:hint="default"/>
        <w:lang w:val="tr-TR" w:eastAsia="en-US" w:bidi="ar-SA"/>
      </w:rPr>
    </w:lvl>
    <w:lvl w:ilvl="6" w:tplc="924A845E">
      <w:numFmt w:val="bullet"/>
      <w:lvlText w:val="•"/>
      <w:lvlJc w:val="left"/>
      <w:pPr>
        <w:ind w:left="5928" w:hanging="203"/>
      </w:pPr>
      <w:rPr>
        <w:rFonts w:hint="default"/>
        <w:lang w:val="tr-TR" w:eastAsia="en-US" w:bidi="ar-SA"/>
      </w:rPr>
    </w:lvl>
    <w:lvl w:ilvl="7" w:tplc="82A2EBB4">
      <w:numFmt w:val="bullet"/>
      <w:lvlText w:val="•"/>
      <w:lvlJc w:val="left"/>
      <w:pPr>
        <w:ind w:left="6859" w:hanging="203"/>
      </w:pPr>
      <w:rPr>
        <w:rFonts w:hint="default"/>
        <w:lang w:val="tr-TR" w:eastAsia="en-US" w:bidi="ar-SA"/>
      </w:rPr>
    </w:lvl>
    <w:lvl w:ilvl="8" w:tplc="0C9C17A0">
      <w:numFmt w:val="bullet"/>
      <w:lvlText w:val="•"/>
      <w:lvlJc w:val="left"/>
      <w:pPr>
        <w:ind w:left="7791" w:hanging="20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54B2"/>
    <w:rsid w:val="00843E85"/>
    <w:rsid w:val="00B83E53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8543"/>
  <w15:docId w15:val="{8F73989F-76DF-4E4B-A100-B37CB350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83"/>
      <w:outlineLvl w:val="0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before="225"/>
      <w:ind w:left="344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cromedexsolutio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AHMET</cp:lastModifiedBy>
  <cp:revision>2</cp:revision>
  <dcterms:created xsi:type="dcterms:W3CDTF">2025-10-07T18:32:00Z</dcterms:created>
  <dcterms:modified xsi:type="dcterms:W3CDTF">2025-10-07T18:33:00Z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Aspose.Words for .NET 22.9.0</vt:lpwstr>
  </property>
</Properties>
</file>